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9F58" w14:textId="2C4E61F4" w:rsidR="00BF70D8" w:rsidRDefault="00BF70D8" w:rsidP="00BF70D8">
      <w:pPr>
        <w:pStyle w:val="CRCoverPage"/>
        <w:tabs>
          <w:tab w:val="right" w:pos="9639"/>
        </w:tabs>
        <w:spacing w:after="0"/>
        <w:rPr>
          <w:b/>
          <w:i/>
          <w:noProof/>
          <w:sz w:val="28"/>
        </w:rPr>
      </w:pPr>
      <w:r>
        <w:rPr>
          <w:b/>
          <w:noProof/>
          <w:sz w:val="24"/>
        </w:rPr>
        <w:t>3GPP TSG-</w:t>
      </w:r>
      <w:r w:rsidR="007F7321">
        <w:fldChar w:fldCharType="begin"/>
      </w:r>
      <w:r w:rsidR="007F7321">
        <w:instrText xml:space="preserve"> DOCPROPERTY  TSG/WGRef  \* MERGEFORMAT </w:instrText>
      </w:r>
      <w:r w:rsidR="007F7321">
        <w:fldChar w:fldCharType="separate"/>
      </w:r>
      <w:r>
        <w:rPr>
          <w:b/>
          <w:noProof/>
          <w:sz w:val="24"/>
        </w:rPr>
        <w:t>RAN4</w:t>
      </w:r>
      <w:r w:rsidR="007F7321">
        <w:rPr>
          <w:b/>
          <w:noProof/>
          <w:sz w:val="24"/>
        </w:rPr>
        <w:fldChar w:fldCharType="end"/>
      </w:r>
      <w:r>
        <w:rPr>
          <w:b/>
          <w:noProof/>
          <w:sz w:val="24"/>
        </w:rPr>
        <w:t xml:space="preserve"> Meeting #</w:t>
      </w:r>
      <w:r w:rsidRPr="005261A6">
        <w:rPr>
          <w:b/>
          <w:noProof/>
          <w:sz w:val="24"/>
        </w:rPr>
        <w:t>10</w:t>
      </w:r>
      <w:r w:rsidR="00CC270F">
        <w:rPr>
          <w:b/>
          <w:noProof/>
          <w:sz w:val="24"/>
        </w:rPr>
        <w:t>1</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9D2E35" w:rsidRPr="009D2E35">
        <w:rPr>
          <w:b/>
          <w:noProof/>
          <w:sz w:val="24"/>
        </w:rPr>
        <w:t>R4-2117454</w:t>
      </w:r>
    </w:p>
    <w:p w14:paraId="24B87423" w14:textId="4A350C03" w:rsidR="00CC270F" w:rsidRDefault="00CC270F" w:rsidP="00CC270F">
      <w:pPr>
        <w:pStyle w:val="Header"/>
        <w:tabs>
          <w:tab w:val="right" w:pos="9781"/>
          <w:tab w:val="right" w:pos="13323"/>
        </w:tabs>
        <w:outlineLvl w:val="0"/>
        <w:rPr>
          <w:rFonts w:cs="Arial"/>
          <w:sz w:val="24"/>
          <w:szCs w:val="24"/>
        </w:rPr>
      </w:pPr>
      <w:r>
        <w:rPr>
          <w:rFonts w:cs="Arial"/>
          <w:sz w:val="24"/>
          <w:szCs w:val="24"/>
        </w:rPr>
        <w:t>Electronic Meeting, November 01-12</w:t>
      </w:r>
      <w:r w:rsidRPr="00B23518">
        <w:rPr>
          <w:rFonts w:cs="Arial"/>
          <w:sz w:val="24"/>
          <w:szCs w:val="24"/>
        </w:rPr>
        <w:t>, 2021</w:t>
      </w:r>
    </w:p>
    <w:p w14:paraId="701ABECE" w14:textId="77777777" w:rsidR="00CC270F" w:rsidRDefault="00CC270F" w:rsidP="00CC270F">
      <w:pPr>
        <w:pStyle w:val="Header"/>
        <w:tabs>
          <w:tab w:val="right" w:pos="9781"/>
          <w:tab w:val="right" w:pos="13323"/>
        </w:tabs>
        <w:outlineLvl w:val="0"/>
        <w:rPr>
          <w:rFonts w:cs="Arial"/>
          <w:sz w:val="24"/>
          <w:szCs w:val="24"/>
        </w:rPr>
      </w:pPr>
    </w:p>
    <w:p w14:paraId="038E9536" w14:textId="015DADF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CC270F">
        <w:rPr>
          <w:rFonts w:ascii="Arial" w:hAnsi="Arial" w:cs="Arial"/>
          <w:b/>
          <w:sz w:val="22"/>
          <w:szCs w:val="22"/>
        </w:rPr>
        <w:t>8</w:t>
      </w:r>
      <w:r w:rsidR="00012220">
        <w:rPr>
          <w:rFonts w:ascii="Arial" w:hAnsi="Arial" w:cs="Arial"/>
          <w:b/>
          <w:sz w:val="22"/>
          <w:szCs w:val="22"/>
        </w:rPr>
        <w:t>.1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7E4D1A">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EDFECD3"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C270F" w:rsidRPr="00CC270F">
        <w:rPr>
          <w:rFonts w:ascii="Arial" w:hAnsi="Arial" w:cs="Arial"/>
          <w:b/>
          <w:sz w:val="22"/>
          <w:szCs w:val="22"/>
        </w:rPr>
        <w:t>Discussion on mobility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547A61D8" w:rsidR="002326B7" w:rsidRDefault="002326B7" w:rsidP="002B01EC">
      <w:pPr>
        <w:spacing w:after="0"/>
        <w:jc w:val="both"/>
        <w:rPr>
          <w:sz w:val="20"/>
          <w:szCs w:val="20"/>
        </w:rPr>
      </w:pPr>
      <w:r w:rsidRPr="00CC7AA2">
        <w:rPr>
          <w:sz w:val="20"/>
          <w:szCs w:val="20"/>
        </w:rPr>
        <w:t xml:space="preserve">In last RAN4 meeting, the </w:t>
      </w:r>
      <w:r w:rsidR="00A56DA6">
        <w:rPr>
          <w:sz w:val="20"/>
          <w:szCs w:val="20"/>
        </w:rPr>
        <w:t>mobility</w:t>
      </w:r>
      <w:r w:rsidRPr="00CC7AA2">
        <w:rPr>
          <w:sz w:val="20"/>
          <w:szCs w:val="20"/>
        </w:rPr>
        <w:t xml:space="preserve"> requirement for NR NTN has been discussed and the </w:t>
      </w:r>
      <w:r w:rsidR="00A56DA6">
        <w:rPr>
          <w:sz w:val="20"/>
          <w:szCs w:val="20"/>
        </w:rPr>
        <w:t>agreements</w:t>
      </w:r>
      <w:r w:rsidRPr="00CC7AA2">
        <w:rPr>
          <w:sz w:val="20"/>
          <w:szCs w:val="20"/>
        </w:rPr>
        <w:t xml:space="preserve"> were captured in the </w:t>
      </w:r>
      <w:proofErr w:type="gramStart"/>
      <w:r w:rsidRPr="00CC7AA2">
        <w:rPr>
          <w:sz w:val="20"/>
          <w:szCs w:val="20"/>
        </w:rPr>
        <w:t>WF[</w:t>
      </w:r>
      <w:proofErr w:type="gramEnd"/>
      <w:r w:rsidRPr="00CC7AA2">
        <w:rPr>
          <w:sz w:val="20"/>
          <w:szCs w:val="20"/>
        </w:rPr>
        <w:t>1]</w:t>
      </w:r>
      <w:r w:rsidR="00DE4FD9">
        <w:rPr>
          <w:sz w:val="20"/>
          <w:szCs w:val="20"/>
        </w:rPr>
        <w:t>, duplicated as below</w:t>
      </w:r>
      <w:r w:rsidRPr="00CC7AA2">
        <w:rPr>
          <w:sz w:val="20"/>
          <w:szCs w:val="20"/>
        </w:rPr>
        <w:t>.</w:t>
      </w:r>
    </w:p>
    <w:tbl>
      <w:tblPr>
        <w:tblStyle w:val="TableGrid"/>
        <w:tblW w:w="0" w:type="auto"/>
        <w:tblLook w:val="04A0" w:firstRow="1" w:lastRow="0" w:firstColumn="1" w:lastColumn="0" w:noHBand="0" w:noVBand="1"/>
      </w:tblPr>
      <w:tblGrid>
        <w:gridCol w:w="9629"/>
      </w:tblGrid>
      <w:tr w:rsidR="00DE4FD9" w14:paraId="3E51871A" w14:textId="77777777" w:rsidTr="00DE4FD9">
        <w:tc>
          <w:tcPr>
            <w:tcW w:w="9629" w:type="dxa"/>
          </w:tcPr>
          <w:p w14:paraId="47F602EE" w14:textId="77777777" w:rsidR="00C7659F" w:rsidRPr="00C7659F" w:rsidRDefault="00C7659F" w:rsidP="00C7659F">
            <w:pPr>
              <w:rPr>
                <w:b/>
                <w:sz w:val="20"/>
                <w:szCs w:val="20"/>
                <w:u w:val="single"/>
                <w:lang w:eastAsia="ko-KR"/>
              </w:rPr>
            </w:pPr>
            <w:r w:rsidRPr="00C7659F">
              <w:rPr>
                <w:b/>
                <w:sz w:val="20"/>
                <w:szCs w:val="20"/>
                <w:highlight w:val="cyan"/>
                <w:u w:val="single"/>
                <w:lang w:eastAsia="ko-KR"/>
              </w:rPr>
              <w:t>Issue 1-2-2 Neighbour/Target Cell Information Acquisition</w:t>
            </w:r>
          </w:p>
          <w:p w14:paraId="43DB30AA" w14:textId="77777777" w:rsidR="00C7659F" w:rsidRPr="00C7659F" w:rsidRDefault="00C7659F" w:rsidP="00C7659F">
            <w:pPr>
              <w:spacing w:after="120"/>
              <w:ind w:firstLine="284"/>
              <w:rPr>
                <w:sz w:val="20"/>
                <w:szCs w:val="20"/>
              </w:rPr>
            </w:pPr>
            <w:r w:rsidRPr="00C7659F">
              <w:rPr>
                <w:sz w:val="20"/>
                <w:szCs w:val="20"/>
                <w:highlight w:val="green"/>
              </w:rPr>
              <w:t>Agreement:</w:t>
            </w:r>
          </w:p>
          <w:p w14:paraId="4AE6B92E" w14:textId="77777777" w:rsidR="00C7659F" w:rsidRPr="00C7659F" w:rsidRDefault="00C7659F" w:rsidP="00C7659F">
            <w:pPr>
              <w:pStyle w:val="ListParagraph"/>
              <w:widowControl/>
              <w:numPr>
                <w:ilvl w:val="0"/>
                <w:numId w:val="25"/>
              </w:numPr>
              <w:overflowPunct w:val="0"/>
              <w:autoSpaceDE w:val="0"/>
              <w:autoSpaceDN w:val="0"/>
              <w:adjustRightInd w:val="0"/>
              <w:spacing w:before="0" w:beforeAutospacing="0" w:after="120" w:line="240" w:lineRule="auto"/>
              <w:ind w:firstLineChars="0"/>
              <w:textAlignment w:val="baseline"/>
              <w:rPr>
                <w:sz w:val="20"/>
                <w:szCs w:val="20"/>
                <w:lang w:eastAsia="zh-CN"/>
              </w:rPr>
            </w:pPr>
            <w:r w:rsidRPr="00C7659F">
              <w:rPr>
                <w:sz w:val="20"/>
                <w:szCs w:val="20"/>
                <w:lang w:eastAsia="zh-CN"/>
              </w:rPr>
              <w:t>If not violates RAN1/2 agreements, RAN4 further discuss and determine the following in RAN4#101 e-meeting.</w:t>
            </w:r>
          </w:p>
          <w:p w14:paraId="559488D0" w14:textId="77E9A84C" w:rsidR="00DE4FD9" w:rsidRPr="00C7659F" w:rsidRDefault="00C7659F" w:rsidP="00C7659F">
            <w:pPr>
              <w:pStyle w:val="ListParagraph"/>
              <w:widowControl/>
              <w:numPr>
                <w:ilvl w:val="1"/>
                <w:numId w:val="25"/>
              </w:numPr>
              <w:overflowPunct w:val="0"/>
              <w:autoSpaceDE w:val="0"/>
              <w:autoSpaceDN w:val="0"/>
              <w:adjustRightInd w:val="0"/>
              <w:spacing w:before="0" w:beforeAutospacing="0" w:after="120" w:line="240" w:lineRule="auto"/>
              <w:ind w:firstLineChars="0"/>
              <w:textAlignment w:val="baseline"/>
              <w:rPr>
                <w:szCs w:val="24"/>
                <w:lang w:eastAsia="zh-CN"/>
              </w:rPr>
            </w:pPr>
            <w:r w:rsidRPr="00C7659F">
              <w:rPr>
                <w:sz w:val="20"/>
                <w:szCs w:val="20"/>
                <w:lang w:eastAsia="zh-CN"/>
              </w:rPr>
              <w:t xml:space="preserve">RAN4 to develop RRM requirements assuming parameters to derive timing relation between the UE and non-serving cell(s) for measurement and/or handover will be provided by serving cell, e.g. K_offset, N_TA,common, ephemeris information, etc. If UE doesn’t obtain those parameters from the serving cell, </w:t>
            </w:r>
            <w:r w:rsidRPr="00C7659F">
              <w:rPr>
                <w:rFonts w:eastAsia="PMingLiU"/>
                <w:sz w:val="20"/>
                <w:szCs w:val="20"/>
                <w:lang w:val="en-US" w:eastAsia="zh-TW"/>
              </w:rPr>
              <w:t>additional delay is expected.</w:t>
            </w:r>
          </w:p>
        </w:tc>
      </w:tr>
    </w:tbl>
    <w:p w14:paraId="76088471" w14:textId="74B6DC0F" w:rsidR="00DE4FD9" w:rsidRPr="00CC7AA2" w:rsidRDefault="00B176BC" w:rsidP="002B01EC">
      <w:pPr>
        <w:spacing w:after="0"/>
        <w:jc w:val="both"/>
        <w:rPr>
          <w:sz w:val="20"/>
          <w:szCs w:val="20"/>
        </w:rPr>
      </w:pPr>
      <w:r>
        <w:rPr>
          <w:sz w:val="20"/>
          <w:szCs w:val="20"/>
        </w:rPr>
        <w:t xml:space="preserve">In this contribution, we </w:t>
      </w:r>
      <w:r w:rsidR="00C7659F">
        <w:rPr>
          <w:sz w:val="20"/>
          <w:szCs w:val="20"/>
        </w:rPr>
        <w:t xml:space="preserve">further </w:t>
      </w:r>
      <w:r>
        <w:rPr>
          <w:sz w:val="20"/>
          <w:szCs w:val="20"/>
        </w:rPr>
        <w:t xml:space="preserve">discuss the assumption of </w:t>
      </w:r>
      <w:r w:rsidR="00C7659F" w:rsidRPr="00C7659F">
        <w:rPr>
          <w:sz w:val="20"/>
          <w:szCs w:val="20"/>
        </w:rPr>
        <w:t>K_offset, N_</w:t>
      </w:r>
      <w:proofErr w:type="gramStart"/>
      <w:r w:rsidR="00C7659F" w:rsidRPr="00C7659F">
        <w:rPr>
          <w:sz w:val="20"/>
          <w:szCs w:val="20"/>
        </w:rPr>
        <w:t>TA,common</w:t>
      </w:r>
      <w:proofErr w:type="gramEnd"/>
      <w:r w:rsidR="00C7659F" w:rsidRPr="00C7659F">
        <w:rPr>
          <w:sz w:val="20"/>
          <w:szCs w:val="20"/>
        </w:rPr>
        <w:t xml:space="preserve">, </w:t>
      </w:r>
      <w:r w:rsidR="00114A9B">
        <w:rPr>
          <w:sz w:val="20"/>
          <w:szCs w:val="20"/>
        </w:rPr>
        <w:t xml:space="preserve">and </w:t>
      </w:r>
      <w:r w:rsidR="00C7659F" w:rsidRPr="00C7659F">
        <w:rPr>
          <w:sz w:val="20"/>
          <w:szCs w:val="20"/>
        </w:rPr>
        <w:t>ephemeris information</w:t>
      </w:r>
      <w:r w:rsidR="00C7659F">
        <w:rPr>
          <w:sz w:val="20"/>
          <w:szCs w:val="20"/>
        </w:rPr>
        <w:t xml:space="preserve"> </w:t>
      </w:r>
      <w:r>
        <w:rPr>
          <w:sz w:val="20"/>
          <w:szCs w:val="20"/>
        </w:rPr>
        <w:t xml:space="preserve">in </w:t>
      </w:r>
      <w:r w:rsidR="00C7659F">
        <w:rPr>
          <w:sz w:val="20"/>
          <w:szCs w:val="20"/>
        </w:rPr>
        <w:t>mobility</w:t>
      </w:r>
      <w:r>
        <w:rPr>
          <w:sz w:val="20"/>
          <w:szCs w:val="20"/>
        </w:rPr>
        <w:t xml:space="preserve"> requirement.</w:t>
      </w:r>
    </w:p>
    <w:p w14:paraId="11114A88" w14:textId="359F93A0" w:rsidR="00712CC1" w:rsidRDefault="00B176BC" w:rsidP="00712CC1">
      <w:pPr>
        <w:pStyle w:val="Heading1"/>
        <w:numPr>
          <w:ilvl w:val="0"/>
          <w:numId w:val="10"/>
        </w:numPr>
        <w:pBdr>
          <w:top w:val="single" w:sz="12" w:space="2" w:color="auto"/>
        </w:pBdr>
        <w:tabs>
          <w:tab w:val="num" w:pos="45"/>
        </w:tabs>
        <w:jc w:val="both"/>
        <w:rPr>
          <w:sz w:val="32"/>
        </w:rPr>
      </w:pPr>
      <w:r>
        <w:rPr>
          <w:sz w:val="32"/>
        </w:rPr>
        <w:t xml:space="preserve">RAN4 assumption for NTN </w:t>
      </w:r>
      <w:r w:rsidR="00C96EE0">
        <w:rPr>
          <w:sz w:val="32"/>
        </w:rPr>
        <w:t>mobility</w:t>
      </w:r>
    </w:p>
    <w:p w14:paraId="12F99C26" w14:textId="3227BD55" w:rsidR="00EC73ED" w:rsidRDefault="00B176BC" w:rsidP="002326B7">
      <w:pPr>
        <w:rPr>
          <w:sz w:val="20"/>
          <w:szCs w:val="20"/>
        </w:rPr>
      </w:pPr>
      <w:r>
        <w:rPr>
          <w:sz w:val="20"/>
          <w:szCs w:val="20"/>
        </w:rPr>
        <w:t xml:space="preserve">In </w:t>
      </w:r>
      <w:r w:rsidR="00EC73ED">
        <w:rPr>
          <w:sz w:val="20"/>
          <w:szCs w:val="20"/>
        </w:rPr>
        <w:t xml:space="preserve">legacy </w:t>
      </w:r>
      <w:r>
        <w:rPr>
          <w:sz w:val="20"/>
          <w:szCs w:val="20"/>
        </w:rPr>
        <w:t>TN CHO</w:t>
      </w:r>
      <w:r w:rsidR="00EC73ED">
        <w:rPr>
          <w:sz w:val="20"/>
          <w:szCs w:val="20"/>
        </w:rPr>
        <w:t xml:space="preserve"> requirement</w:t>
      </w:r>
      <w:r>
        <w:rPr>
          <w:sz w:val="20"/>
          <w:szCs w:val="20"/>
        </w:rPr>
        <w:t xml:space="preserve">, </w:t>
      </w:r>
      <w:r w:rsidR="00EC73ED">
        <w:rPr>
          <w:sz w:val="20"/>
          <w:szCs w:val="20"/>
        </w:rPr>
        <w:t>we have the delay requirement in TS38.133 as below,</w:t>
      </w:r>
    </w:p>
    <w:tbl>
      <w:tblPr>
        <w:tblStyle w:val="TableGrid"/>
        <w:tblW w:w="0" w:type="auto"/>
        <w:tblLook w:val="04A0" w:firstRow="1" w:lastRow="0" w:firstColumn="1" w:lastColumn="0" w:noHBand="0" w:noVBand="1"/>
      </w:tblPr>
      <w:tblGrid>
        <w:gridCol w:w="9629"/>
      </w:tblGrid>
      <w:tr w:rsidR="00A834F6" w14:paraId="74F4B614" w14:textId="77777777" w:rsidTr="00A834F6">
        <w:tc>
          <w:tcPr>
            <w:tcW w:w="9629" w:type="dxa"/>
          </w:tcPr>
          <w:p w14:paraId="3E8A7D2C" w14:textId="77777777" w:rsidR="00A834F6" w:rsidRDefault="00A834F6" w:rsidP="00A834F6">
            <w:pPr>
              <w:spacing w:after="0"/>
              <w:rPr>
                <w:sz w:val="20"/>
                <w:szCs w:val="20"/>
              </w:rPr>
            </w:pPr>
            <w:r w:rsidRPr="00A834F6">
              <w:rPr>
                <w:noProof/>
                <w:sz w:val="20"/>
                <w:szCs w:val="20"/>
              </w:rPr>
              <w:drawing>
                <wp:inline distT="0" distB="0" distL="0" distR="0" wp14:anchorId="274917E9" wp14:editId="5EAD4442">
                  <wp:extent cx="5157339" cy="24071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5955" cy="2415875"/>
                          </a:xfrm>
                          <a:prstGeom prst="rect">
                            <a:avLst/>
                          </a:prstGeom>
                        </pic:spPr>
                      </pic:pic>
                    </a:graphicData>
                  </a:graphic>
                </wp:inline>
              </w:drawing>
            </w:r>
          </w:p>
          <w:p w14:paraId="25381E72" w14:textId="29F26556" w:rsidR="00A834F6" w:rsidRDefault="00A834F6" w:rsidP="00A834F6">
            <w:pPr>
              <w:spacing w:after="0"/>
              <w:rPr>
                <w:sz w:val="20"/>
                <w:szCs w:val="20"/>
              </w:rPr>
            </w:pPr>
            <w:r w:rsidRPr="00A834F6">
              <w:rPr>
                <w:noProof/>
                <w:sz w:val="20"/>
                <w:szCs w:val="20"/>
              </w:rPr>
              <w:lastRenderedPageBreak/>
              <w:drawing>
                <wp:inline distT="0" distB="0" distL="0" distR="0" wp14:anchorId="53266936" wp14:editId="0C8CBB3B">
                  <wp:extent cx="5354198" cy="1088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6776" cy="1092759"/>
                          </a:xfrm>
                          <a:prstGeom prst="rect">
                            <a:avLst/>
                          </a:prstGeom>
                        </pic:spPr>
                      </pic:pic>
                    </a:graphicData>
                  </a:graphic>
                </wp:inline>
              </w:drawing>
            </w:r>
          </w:p>
        </w:tc>
      </w:tr>
    </w:tbl>
    <w:p w14:paraId="405A1AA3" w14:textId="7DC00FAF" w:rsidR="00B176BC" w:rsidRDefault="00B176BC" w:rsidP="0071544C">
      <w:pPr>
        <w:jc w:val="both"/>
        <w:rPr>
          <w:sz w:val="20"/>
          <w:szCs w:val="20"/>
        </w:rPr>
      </w:pPr>
      <w:r>
        <w:rPr>
          <w:sz w:val="20"/>
          <w:szCs w:val="20"/>
        </w:rPr>
        <w:lastRenderedPageBreak/>
        <w:t>SI</w:t>
      </w:r>
      <w:r w:rsidR="00A834F6">
        <w:rPr>
          <w:sz w:val="20"/>
          <w:szCs w:val="20"/>
        </w:rPr>
        <w:t xml:space="preserve"> (e.g., SIB reading)</w:t>
      </w:r>
      <w:r>
        <w:rPr>
          <w:sz w:val="20"/>
          <w:szCs w:val="20"/>
        </w:rPr>
        <w:t xml:space="preserve"> is not required in </w:t>
      </w:r>
      <w:r w:rsidR="00A834F6">
        <w:rPr>
          <w:sz w:val="20"/>
          <w:szCs w:val="20"/>
        </w:rPr>
        <w:t>CHO procedure</w:t>
      </w:r>
      <w:r>
        <w:rPr>
          <w:sz w:val="20"/>
          <w:szCs w:val="20"/>
        </w:rPr>
        <w:t>,</w:t>
      </w:r>
      <w:r w:rsidR="00A834F6">
        <w:rPr>
          <w:sz w:val="20"/>
          <w:szCs w:val="20"/>
        </w:rPr>
        <w:t xml:space="preserve"> and RO information would be configured by serving cell for the handover. We think the same assumption shall be applied for CHO in NTN as well, otherwise the CHO delay would be much longer than the legacy TN case. </w:t>
      </w:r>
    </w:p>
    <w:p w14:paraId="7C836B87" w14:textId="3F3846A1" w:rsidR="00A834F6" w:rsidRDefault="00B176BC" w:rsidP="002326B7">
      <w:pPr>
        <w:rPr>
          <w:sz w:val="20"/>
          <w:szCs w:val="20"/>
        </w:rPr>
      </w:pPr>
      <w:r>
        <w:rPr>
          <w:sz w:val="20"/>
          <w:szCs w:val="20"/>
        </w:rPr>
        <w:t>In R</w:t>
      </w:r>
      <w:r w:rsidR="00A834F6">
        <w:rPr>
          <w:sz w:val="20"/>
          <w:szCs w:val="20"/>
        </w:rPr>
        <w:t>AN</w:t>
      </w:r>
      <w:r>
        <w:rPr>
          <w:sz w:val="20"/>
          <w:szCs w:val="20"/>
        </w:rPr>
        <w:t xml:space="preserve">1, </w:t>
      </w:r>
      <w:r w:rsidR="00114A9B" w:rsidRPr="00C7659F">
        <w:rPr>
          <w:sz w:val="20"/>
          <w:szCs w:val="20"/>
        </w:rPr>
        <w:t>K_offset, N_</w:t>
      </w:r>
      <w:proofErr w:type="gramStart"/>
      <w:r w:rsidR="00114A9B" w:rsidRPr="00C7659F">
        <w:rPr>
          <w:sz w:val="20"/>
          <w:szCs w:val="20"/>
        </w:rPr>
        <w:t>TA,common</w:t>
      </w:r>
      <w:proofErr w:type="gramEnd"/>
      <w:r w:rsidR="00114A9B" w:rsidRPr="00C7659F">
        <w:rPr>
          <w:sz w:val="20"/>
          <w:szCs w:val="20"/>
        </w:rPr>
        <w:t xml:space="preserve">, </w:t>
      </w:r>
      <w:r w:rsidR="00114A9B">
        <w:rPr>
          <w:sz w:val="20"/>
          <w:szCs w:val="20"/>
        </w:rPr>
        <w:t xml:space="preserve">and </w:t>
      </w:r>
      <w:r w:rsidR="00114A9B" w:rsidRPr="00C7659F">
        <w:rPr>
          <w:sz w:val="20"/>
          <w:szCs w:val="20"/>
        </w:rPr>
        <w:t>ephemeris information</w:t>
      </w:r>
      <w:r w:rsidR="00114A9B">
        <w:rPr>
          <w:sz w:val="20"/>
          <w:szCs w:val="20"/>
        </w:rPr>
        <w:t xml:space="preserve"> </w:t>
      </w:r>
      <w:r w:rsidR="00A834F6">
        <w:rPr>
          <w:sz w:val="20"/>
          <w:szCs w:val="20"/>
        </w:rPr>
        <w:t>were introduced in the system information for UE to access to new NTN cell, and those parameters are essential for cell accessing and communication.</w:t>
      </w:r>
    </w:p>
    <w:p w14:paraId="21147CBD" w14:textId="65AF5688" w:rsidR="00AA4942" w:rsidRDefault="00AA4942" w:rsidP="0071544C">
      <w:pPr>
        <w:jc w:val="both"/>
        <w:rPr>
          <w:sz w:val="20"/>
          <w:szCs w:val="20"/>
        </w:rPr>
      </w:pPr>
      <w:r>
        <w:rPr>
          <w:sz w:val="20"/>
          <w:szCs w:val="20"/>
        </w:rPr>
        <w:t xml:space="preserve">Even though the ending point of CHO requirement is the msg1 transmission timing, the UE still needs to know the K_offset </w:t>
      </w:r>
      <w:r w:rsidR="00114A9B">
        <w:rPr>
          <w:sz w:val="20"/>
          <w:szCs w:val="20"/>
        </w:rPr>
        <w:t xml:space="preserve">and </w:t>
      </w:r>
      <w:r w:rsidR="00114A9B" w:rsidRPr="00C7659F">
        <w:rPr>
          <w:sz w:val="20"/>
          <w:szCs w:val="20"/>
        </w:rPr>
        <w:t>ephemeris information</w:t>
      </w:r>
      <w:r w:rsidR="00114A9B">
        <w:rPr>
          <w:sz w:val="20"/>
          <w:szCs w:val="20"/>
        </w:rPr>
        <w:t xml:space="preserve"> </w:t>
      </w:r>
      <w:r>
        <w:rPr>
          <w:sz w:val="20"/>
          <w:szCs w:val="20"/>
        </w:rPr>
        <w:t xml:space="preserve">before msg1 transmission for msg3/msgB to complete a handover procedure in field. Since we don’t think this SI reading shall be conducted during the CHO procedure, it makes sense to let </w:t>
      </w:r>
      <w:r w:rsidR="0071544C">
        <w:rPr>
          <w:sz w:val="20"/>
          <w:szCs w:val="20"/>
        </w:rPr>
        <w:t>source</w:t>
      </w:r>
      <w:r>
        <w:rPr>
          <w:sz w:val="20"/>
          <w:szCs w:val="20"/>
        </w:rPr>
        <w:t xml:space="preserve"> serving cell </w:t>
      </w:r>
      <w:r w:rsidR="0071544C">
        <w:rPr>
          <w:sz w:val="20"/>
          <w:szCs w:val="20"/>
        </w:rPr>
        <w:t>provide</w:t>
      </w:r>
      <w:r>
        <w:rPr>
          <w:sz w:val="20"/>
          <w:szCs w:val="20"/>
        </w:rPr>
        <w:t xml:space="preserve"> such K_offset </w:t>
      </w:r>
      <w:r w:rsidR="00114A9B">
        <w:rPr>
          <w:sz w:val="20"/>
          <w:szCs w:val="20"/>
        </w:rPr>
        <w:t xml:space="preserve">and </w:t>
      </w:r>
      <w:r w:rsidR="00114A9B" w:rsidRPr="00C7659F">
        <w:rPr>
          <w:sz w:val="20"/>
          <w:szCs w:val="20"/>
        </w:rPr>
        <w:t>ephemeris information</w:t>
      </w:r>
      <w:r w:rsidR="00114A9B">
        <w:rPr>
          <w:sz w:val="20"/>
          <w:szCs w:val="20"/>
        </w:rPr>
        <w:t xml:space="preserve"> </w:t>
      </w:r>
      <w:r>
        <w:rPr>
          <w:sz w:val="20"/>
          <w:szCs w:val="20"/>
        </w:rPr>
        <w:t xml:space="preserve">info </w:t>
      </w:r>
      <w:r w:rsidR="0071544C">
        <w:rPr>
          <w:sz w:val="20"/>
          <w:szCs w:val="20"/>
        </w:rPr>
        <w:t>of</w:t>
      </w:r>
      <w:r>
        <w:rPr>
          <w:sz w:val="20"/>
          <w:szCs w:val="20"/>
        </w:rPr>
        <w:t xml:space="preserve"> target serving cell</w:t>
      </w:r>
      <w:r w:rsidR="0071544C">
        <w:rPr>
          <w:sz w:val="20"/>
          <w:szCs w:val="20"/>
        </w:rPr>
        <w:t xml:space="preserve"> to UE for NTN CHO</w:t>
      </w:r>
      <w:r>
        <w:rPr>
          <w:sz w:val="20"/>
          <w:szCs w:val="20"/>
        </w:rPr>
        <w:t>.</w:t>
      </w:r>
    </w:p>
    <w:p w14:paraId="7F349E59" w14:textId="1297853D" w:rsidR="0071544C" w:rsidRDefault="0071544C" w:rsidP="0071544C">
      <w:pPr>
        <w:jc w:val="both"/>
        <w:rPr>
          <w:sz w:val="20"/>
          <w:szCs w:val="20"/>
        </w:rPr>
      </w:pPr>
      <w:r>
        <w:rPr>
          <w:sz w:val="20"/>
          <w:szCs w:val="20"/>
        </w:rPr>
        <w:t>The common TA would also be applied to the UE msg1/msgA transmission to the target cell in CHO case based on the above definition. However, we don’t think UE shall be required to acquire common TA in SI of target cell during the CHO procedure, and therefore we also propose to let</w:t>
      </w:r>
      <w:r w:rsidRPr="0071544C">
        <w:rPr>
          <w:sz w:val="20"/>
          <w:szCs w:val="20"/>
        </w:rPr>
        <w:t xml:space="preserve"> </w:t>
      </w:r>
      <w:r>
        <w:rPr>
          <w:sz w:val="20"/>
          <w:szCs w:val="20"/>
        </w:rPr>
        <w:t>source serving cell provide such common TA info of target serving cell to UE for NTN CHO.</w:t>
      </w:r>
    </w:p>
    <w:p w14:paraId="59DF22DD" w14:textId="3AE30BD9" w:rsidR="00114A9B" w:rsidRDefault="00114A9B" w:rsidP="0071544C">
      <w:pPr>
        <w:jc w:val="both"/>
        <w:rPr>
          <w:sz w:val="20"/>
          <w:szCs w:val="20"/>
        </w:rPr>
      </w:pPr>
      <w:r>
        <w:rPr>
          <w:sz w:val="20"/>
          <w:szCs w:val="20"/>
        </w:rPr>
        <w:t xml:space="preserve">For NTN neighbor cell synchronization/measurement, it’s also important if serving cell could pass such </w:t>
      </w:r>
      <w:r w:rsidRPr="00C7659F">
        <w:rPr>
          <w:sz w:val="20"/>
          <w:szCs w:val="20"/>
        </w:rPr>
        <w:t>ephemeris information</w:t>
      </w:r>
      <w:r>
        <w:rPr>
          <w:sz w:val="20"/>
          <w:szCs w:val="20"/>
        </w:rPr>
        <w:t xml:space="preserve"> to UE to improve the UE side compensation on high doppler shift when needed. </w:t>
      </w:r>
    </w:p>
    <w:p w14:paraId="334A5FC5" w14:textId="48485A79" w:rsidR="00114A9B" w:rsidRDefault="00114A9B" w:rsidP="0071544C">
      <w:pPr>
        <w:jc w:val="both"/>
        <w:rPr>
          <w:sz w:val="20"/>
          <w:szCs w:val="20"/>
        </w:rPr>
      </w:pPr>
      <w:proofErr w:type="gramStart"/>
      <w:r>
        <w:rPr>
          <w:sz w:val="20"/>
          <w:szCs w:val="20"/>
        </w:rPr>
        <w:t>And also</w:t>
      </w:r>
      <w:proofErr w:type="gramEnd"/>
      <w:r>
        <w:rPr>
          <w:sz w:val="20"/>
          <w:szCs w:val="20"/>
        </w:rPr>
        <w:t xml:space="preserve">, for polarization information, UE </w:t>
      </w:r>
      <w:r w:rsidR="00C96EE0">
        <w:rPr>
          <w:sz w:val="20"/>
          <w:szCs w:val="20"/>
        </w:rPr>
        <w:t>shall</w:t>
      </w:r>
      <w:r>
        <w:rPr>
          <w:sz w:val="20"/>
          <w:szCs w:val="20"/>
        </w:rPr>
        <w:t xml:space="preserve"> not be required to read it in SIB </w:t>
      </w:r>
      <w:r w:rsidR="00C96EE0">
        <w:rPr>
          <w:sz w:val="20"/>
          <w:szCs w:val="20"/>
        </w:rPr>
        <w:t>during</w:t>
      </w:r>
      <w:r>
        <w:rPr>
          <w:sz w:val="20"/>
          <w:szCs w:val="20"/>
        </w:rPr>
        <w:t xml:space="preserve"> handover. RAN1 had following agreements that,</w:t>
      </w:r>
    </w:p>
    <w:p w14:paraId="3D8F6D7D" w14:textId="198C4BDA" w:rsidR="00114A9B" w:rsidRPr="00114A9B" w:rsidRDefault="00114A9B" w:rsidP="00114A9B">
      <w:pPr>
        <w:rPr>
          <w:i/>
          <w:iCs/>
          <w:sz w:val="20"/>
          <w:szCs w:val="20"/>
        </w:rPr>
      </w:pPr>
      <w:r w:rsidRPr="00114A9B">
        <w:rPr>
          <w:i/>
          <w:iCs/>
          <w:sz w:val="20"/>
          <w:szCs w:val="20"/>
          <w:highlight w:val="green"/>
        </w:rPr>
        <w:t>Agreement:</w:t>
      </w:r>
      <w:r w:rsidR="009D2E35">
        <w:rPr>
          <w:i/>
          <w:iCs/>
          <w:sz w:val="20"/>
          <w:szCs w:val="20"/>
        </w:rPr>
        <w:t xml:space="preserve"> </w:t>
      </w:r>
      <w:r w:rsidRPr="00114A9B">
        <w:rPr>
          <w:i/>
          <w:iCs/>
          <w:sz w:val="20"/>
          <w:szCs w:val="20"/>
        </w:rPr>
        <w:t>When polarization signalling is present in SIB</w:t>
      </w:r>
    </w:p>
    <w:p w14:paraId="426839DD" w14:textId="77777777" w:rsidR="00114A9B" w:rsidRPr="00114A9B" w:rsidRDefault="00114A9B" w:rsidP="00114A9B">
      <w:pPr>
        <w:numPr>
          <w:ilvl w:val="0"/>
          <w:numId w:val="28"/>
        </w:numPr>
        <w:spacing w:before="0" w:beforeAutospacing="0" w:after="0"/>
        <w:rPr>
          <w:i/>
          <w:iCs/>
          <w:sz w:val="20"/>
          <w:szCs w:val="20"/>
        </w:rPr>
      </w:pPr>
      <w:r w:rsidRPr="00114A9B">
        <w:rPr>
          <w:i/>
          <w:iCs/>
          <w:sz w:val="20"/>
          <w:szCs w:val="20"/>
        </w:rPr>
        <w:t>SIB indicates DL and/or UL polarization information using respective polarization type parameters to indicate: RHCP or LHCP or linear</w:t>
      </w:r>
    </w:p>
    <w:p w14:paraId="6B905183" w14:textId="20067064" w:rsidR="00114A9B" w:rsidRDefault="00114A9B" w:rsidP="00C96EE0">
      <w:pPr>
        <w:numPr>
          <w:ilvl w:val="0"/>
          <w:numId w:val="28"/>
        </w:numPr>
        <w:spacing w:before="0" w:beforeAutospacing="0" w:after="120"/>
        <w:rPr>
          <w:i/>
          <w:iCs/>
          <w:sz w:val="20"/>
          <w:szCs w:val="20"/>
        </w:rPr>
      </w:pPr>
      <w:r w:rsidRPr="00114A9B">
        <w:rPr>
          <w:i/>
          <w:iCs/>
          <w:sz w:val="20"/>
          <w:szCs w:val="20"/>
        </w:rPr>
        <w:t>FFS: whether polarization signalling is per SSB</w:t>
      </w:r>
    </w:p>
    <w:p w14:paraId="54149680" w14:textId="6DD5C4B8" w:rsidR="009D2E35" w:rsidRPr="009D2E35" w:rsidRDefault="009D2E35" w:rsidP="009D2E35">
      <w:pPr>
        <w:spacing w:before="0" w:beforeAutospacing="0" w:after="120"/>
        <w:rPr>
          <w:i/>
          <w:iCs/>
          <w:sz w:val="20"/>
          <w:szCs w:val="20"/>
        </w:rPr>
      </w:pPr>
      <w:r w:rsidRPr="009D2E35">
        <w:rPr>
          <w:i/>
          <w:iCs/>
          <w:sz w:val="20"/>
          <w:szCs w:val="20"/>
          <w:highlight w:val="green"/>
        </w:rPr>
        <w:t>Agreement</w:t>
      </w:r>
      <w:r w:rsidRPr="009D2E35">
        <w:rPr>
          <w:i/>
          <w:iCs/>
          <w:sz w:val="20"/>
          <w:szCs w:val="20"/>
          <w:highlight w:val="green"/>
        </w:rPr>
        <w:t xml:space="preserve"> in RAN1#106bis-e</w:t>
      </w:r>
      <w:r w:rsidRPr="009D2E35">
        <w:rPr>
          <w:i/>
          <w:iCs/>
          <w:sz w:val="20"/>
          <w:szCs w:val="20"/>
          <w:highlight w:val="green"/>
        </w:rPr>
        <w:t>:</w:t>
      </w:r>
    </w:p>
    <w:p w14:paraId="569577A2" w14:textId="07BE8E6B" w:rsidR="009D2E35" w:rsidRPr="009D2E35" w:rsidRDefault="009D2E35" w:rsidP="009D2E35">
      <w:pPr>
        <w:numPr>
          <w:ilvl w:val="0"/>
          <w:numId w:val="28"/>
        </w:numPr>
        <w:spacing w:before="0" w:beforeAutospacing="0" w:after="120"/>
        <w:rPr>
          <w:i/>
          <w:iCs/>
          <w:sz w:val="20"/>
          <w:szCs w:val="20"/>
        </w:rPr>
      </w:pPr>
      <w:r w:rsidRPr="009D2E35">
        <w:rPr>
          <w:i/>
          <w:iCs/>
          <w:sz w:val="20"/>
          <w:szCs w:val="20"/>
        </w:rPr>
        <w:t>Support polarization signalling for target serving cell in handover command message.</w:t>
      </w:r>
    </w:p>
    <w:p w14:paraId="32125EAE" w14:textId="67F75410" w:rsidR="009D2E35" w:rsidRPr="009D2E35" w:rsidRDefault="009D2E35" w:rsidP="009D2E35">
      <w:pPr>
        <w:numPr>
          <w:ilvl w:val="0"/>
          <w:numId w:val="28"/>
        </w:numPr>
        <w:spacing w:before="0" w:beforeAutospacing="0" w:after="120"/>
        <w:rPr>
          <w:i/>
          <w:iCs/>
          <w:sz w:val="20"/>
          <w:szCs w:val="20"/>
        </w:rPr>
      </w:pPr>
      <w:r w:rsidRPr="009D2E35">
        <w:rPr>
          <w:i/>
          <w:iCs/>
          <w:sz w:val="20"/>
          <w:szCs w:val="20"/>
        </w:rPr>
        <w:t>Support polarization signalling for non-serving cell in RRM measurement configuration.</w:t>
      </w:r>
    </w:p>
    <w:p w14:paraId="6F81C87C" w14:textId="247599D6" w:rsidR="00114A9B" w:rsidRDefault="00643770" w:rsidP="00C96EE0">
      <w:pPr>
        <w:spacing w:after="120"/>
        <w:rPr>
          <w:b/>
          <w:bCs/>
          <w:i/>
          <w:iCs/>
          <w:sz w:val="20"/>
          <w:szCs w:val="20"/>
        </w:rPr>
      </w:pPr>
      <w:r w:rsidRPr="00643770">
        <w:rPr>
          <w:b/>
          <w:bCs/>
          <w:i/>
          <w:iCs/>
          <w:sz w:val="20"/>
          <w:szCs w:val="20"/>
        </w:rPr>
        <w:t xml:space="preserve">Proposal </w:t>
      </w:r>
      <w:r w:rsidR="00114A9B">
        <w:rPr>
          <w:b/>
          <w:bCs/>
          <w:i/>
          <w:iCs/>
          <w:sz w:val="20"/>
          <w:szCs w:val="20"/>
        </w:rPr>
        <w:t>1</w:t>
      </w:r>
      <w:r w:rsidRPr="00643770">
        <w:rPr>
          <w:b/>
          <w:bCs/>
          <w:i/>
          <w:iCs/>
          <w:sz w:val="20"/>
          <w:szCs w:val="20"/>
        </w:rPr>
        <w:t xml:space="preserve">: </w:t>
      </w:r>
    </w:p>
    <w:p w14:paraId="5D0974FE" w14:textId="584667BC" w:rsidR="00114A9B" w:rsidRPr="00114A9B" w:rsidRDefault="00114A9B" w:rsidP="00C96EE0">
      <w:pPr>
        <w:spacing w:after="120"/>
        <w:rPr>
          <w:b/>
          <w:bCs/>
          <w:i/>
          <w:iCs/>
          <w:sz w:val="20"/>
          <w:szCs w:val="20"/>
        </w:rPr>
      </w:pPr>
      <w:r w:rsidRPr="00114A9B">
        <w:rPr>
          <w:b/>
          <w:bCs/>
          <w:i/>
          <w:iCs/>
          <w:sz w:val="20"/>
          <w:szCs w:val="20"/>
        </w:rPr>
        <w:t xml:space="preserve">RAN4 to develop RRM requirements assuming parameters to derive </w:t>
      </w:r>
      <w:r w:rsidRPr="00114A9B">
        <w:rPr>
          <w:b/>
          <w:bCs/>
          <w:i/>
          <w:iCs/>
          <w:sz w:val="20"/>
          <w:szCs w:val="20"/>
          <w:highlight w:val="yellow"/>
        </w:rPr>
        <w:t>timing/spatial</w:t>
      </w:r>
      <w:r w:rsidRPr="00114A9B">
        <w:rPr>
          <w:b/>
          <w:bCs/>
          <w:i/>
          <w:iCs/>
          <w:sz w:val="20"/>
          <w:szCs w:val="20"/>
        </w:rPr>
        <w:t xml:space="preserve"> relation between the UE and non-serving cell(s) for measurement and/or handover will be provided by serving cell, e.g. </w:t>
      </w:r>
      <w:r w:rsidRPr="00114A9B">
        <w:rPr>
          <w:b/>
          <w:bCs/>
          <w:i/>
          <w:iCs/>
          <w:sz w:val="20"/>
          <w:szCs w:val="20"/>
          <w:highlight w:val="yellow"/>
        </w:rPr>
        <w:t>K_offset, N_</w:t>
      </w:r>
      <w:proofErr w:type="gramStart"/>
      <w:r w:rsidRPr="00114A9B">
        <w:rPr>
          <w:b/>
          <w:bCs/>
          <w:i/>
          <w:iCs/>
          <w:sz w:val="20"/>
          <w:szCs w:val="20"/>
          <w:highlight w:val="yellow"/>
        </w:rPr>
        <w:t>TA,common</w:t>
      </w:r>
      <w:proofErr w:type="gramEnd"/>
      <w:r w:rsidRPr="00114A9B">
        <w:rPr>
          <w:b/>
          <w:bCs/>
          <w:i/>
          <w:iCs/>
          <w:sz w:val="20"/>
          <w:szCs w:val="20"/>
          <w:highlight w:val="yellow"/>
        </w:rPr>
        <w:t>, ephemeris information, polarization information</w:t>
      </w:r>
      <w:r w:rsidRPr="00114A9B">
        <w:rPr>
          <w:b/>
          <w:bCs/>
          <w:i/>
          <w:iCs/>
          <w:sz w:val="20"/>
          <w:szCs w:val="20"/>
        </w:rPr>
        <w:t xml:space="preserve">, etc. </w:t>
      </w:r>
    </w:p>
    <w:p w14:paraId="1B56E4C3" w14:textId="120E4C0C" w:rsidR="00585E02" w:rsidRPr="00643770" w:rsidRDefault="00114A9B" w:rsidP="00C96EE0">
      <w:pPr>
        <w:spacing w:after="120"/>
        <w:rPr>
          <w:b/>
          <w:bCs/>
          <w:i/>
          <w:iCs/>
          <w:sz w:val="20"/>
          <w:szCs w:val="20"/>
        </w:rPr>
      </w:pPr>
      <w:r w:rsidRPr="00114A9B">
        <w:rPr>
          <w:b/>
          <w:bCs/>
          <w:i/>
          <w:iCs/>
          <w:sz w:val="20"/>
          <w:szCs w:val="20"/>
        </w:rPr>
        <w:t>If UE doesn’t obtain those parameters from the serving cell, additional delay is expected</w:t>
      </w:r>
      <w:r>
        <w:rPr>
          <w:b/>
          <w:bCs/>
          <w:i/>
          <w:iCs/>
          <w:sz w:val="20"/>
          <w:szCs w:val="20"/>
        </w:rPr>
        <w:t xml:space="preserve"> in the corresponding requirement</w:t>
      </w:r>
      <w:r w:rsidRPr="00114A9B">
        <w:rPr>
          <w:b/>
          <w:bCs/>
          <w:i/>
          <w:iCs/>
          <w:sz w:val="20"/>
          <w:szCs w:val="20"/>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EFC6FB5" w14:textId="14BA22F4" w:rsidR="00FF4E5F" w:rsidRDefault="00FF4E5F" w:rsidP="00FF4E5F">
      <w:pPr>
        <w:jc w:val="both"/>
        <w:rPr>
          <w:sz w:val="20"/>
          <w:szCs w:val="20"/>
        </w:rPr>
      </w:pPr>
      <w:r w:rsidRPr="004A24D0">
        <w:rPr>
          <w:sz w:val="20"/>
          <w:szCs w:val="20"/>
        </w:rPr>
        <w:t xml:space="preserve">In this contribution, we discuss </w:t>
      </w:r>
      <w:r w:rsidRPr="004A24D0">
        <w:rPr>
          <w:rFonts w:hint="eastAsia"/>
          <w:sz w:val="20"/>
          <w:szCs w:val="20"/>
        </w:rPr>
        <w:t>timing requirements for NR NTN</w:t>
      </w:r>
      <w:r w:rsidRPr="004A24D0">
        <w:rPr>
          <w:sz w:val="20"/>
          <w:szCs w:val="20"/>
        </w:rPr>
        <w:t>.</w:t>
      </w:r>
    </w:p>
    <w:p w14:paraId="29EAC916" w14:textId="77777777" w:rsidR="009D2E35" w:rsidRDefault="009D2E35" w:rsidP="009D2E35">
      <w:pPr>
        <w:spacing w:after="120"/>
        <w:rPr>
          <w:b/>
          <w:bCs/>
          <w:i/>
          <w:iCs/>
          <w:sz w:val="20"/>
          <w:szCs w:val="20"/>
        </w:rPr>
      </w:pPr>
      <w:r w:rsidRPr="00643770">
        <w:rPr>
          <w:b/>
          <w:bCs/>
          <w:i/>
          <w:iCs/>
          <w:sz w:val="20"/>
          <w:szCs w:val="20"/>
        </w:rPr>
        <w:t xml:space="preserve">Proposal </w:t>
      </w:r>
      <w:r>
        <w:rPr>
          <w:b/>
          <w:bCs/>
          <w:i/>
          <w:iCs/>
          <w:sz w:val="20"/>
          <w:szCs w:val="20"/>
        </w:rPr>
        <w:t>1</w:t>
      </w:r>
      <w:r w:rsidRPr="00643770">
        <w:rPr>
          <w:b/>
          <w:bCs/>
          <w:i/>
          <w:iCs/>
          <w:sz w:val="20"/>
          <w:szCs w:val="20"/>
        </w:rPr>
        <w:t xml:space="preserve">: </w:t>
      </w:r>
    </w:p>
    <w:p w14:paraId="2F3117CD" w14:textId="77777777" w:rsidR="009D2E35" w:rsidRPr="00114A9B" w:rsidRDefault="009D2E35" w:rsidP="009D2E35">
      <w:pPr>
        <w:spacing w:after="120"/>
        <w:rPr>
          <w:b/>
          <w:bCs/>
          <w:i/>
          <w:iCs/>
          <w:sz w:val="20"/>
          <w:szCs w:val="20"/>
        </w:rPr>
      </w:pPr>
      <w:r w:rsidRPr="00114A9B">
        <w:rPr>
          <w:b/>
          <w:bCs/>
          <w:i/>
          <w:iCs/>
          <w:sz w:val="20"/>
          <w:szCs w:val="20"/>
        </w:rPr>
        <w:lastRenderedPageBreak/>
        <w:t xml:space="preserve">RAN4 to develop RRM requirements assuming parameters to derive </w:t>
      </w:r>
      <w:r w:rsidRPr="00114A9B">
        <w:rPr>
          <w:b/>
          <w:bCs/>
          <w:i/>
          <w:iCs/>
          <w:sz w:val="20"/>
          <w:szCs w:val="20"/>
          <w:highlight w:val="yellow"/>
        </w:rPr>
        <w:t>timing/spatial</w:t>
      </w:r>
      <w:r w:rsidRPr="00114A9B">
        <w:rPr>
          <w:b/>
          <w:bCs/>
          <w:i/>
          <w:iCs/>
          <w:sz w:val="20"/>
          <w:szCs w:val="20"/>
        </w:rPr>
        <w:t xml:space="preserve"> relation between the UE and non-serving cell(s) for measurement and/or handover will be provided by serving cell, e.g. </w:t>
      </w:r>
      <w:r w:rsidRPr="00114A9B">
        <w:rPr>
          <w:b/>
          <w:bCs/>
          <w:i/>
          <w:iCs/>
          <w:sz w:val="20"/>
          <w:szCs w:val="20"/>
          <w:highlight w:val="yellow"/>
        </w:rPr>
        <w:t>K_offset, N_</w:t>
      </w:r>
      <w:proofErr w:type="gramStart"/>
      <w:r w:rsidRPr="00114A9B">
        <w:rPr>
          <w:b/>
          <w:bCs/>
          <w:i/>
          <w:iCs/>
          <w:sz w:val="20"/>
          <w:szCs w:val="20"/>
          <w:highlight w:val="yellow"/>
        </w:rPr>
        <w:t>TA,common</w:t>
      </w:r>
      <w:proofErr w:type="gramEnd"/>
      <w:r w:rsidRPr="00114A9B">
        <w:rPr>
          <w:b/>
          <w:bCs/>
          <w:i/>
          <w:iCs/>
          <w:sz w:val="20"/>
          <w:szCs w:val="20"/>
          <w:highlight w:val="yellow"/>
        </w:rPr>
        <w:t>, ephemeris information, polarization information</w:t>
      </w:r>
      <w:r w:rsidRPr="00114A9B">
        <w:rPr>
          <w:b/>
          <w:bCs/>
          <w:i/>
          <w:iCs/>
          <w:sz w:val="20"/>
          <w:szCs w:val="20"/>
        </w:rPr>
        <w:t xml:space="preserve">, etc. </w:t>
      </w:r>
    </w:p>
    <w:p w14:paraId="096ADFE7" w14:textId="77777777" w:rsidR="009D2E35" w:rsidRPr="00643770" w:rsidRDefault="009D2E35" w:rsidP="009D2E35">
      <w:pPr>
        <w:spacing w:after="120"/>
        <w:rPr>
          <w:b/>
          <w:bCs/>
          <w:i/>
          <w:iCs/>
          <w:sz w:val="20"/>
          <w:szCs w:val="20"/>
        </w:rPr>
      </w:pPr>
      <w:r w:rsidRPr="00114A9B">
        <w:rPr>
          <w:b/>
          <w:bCs/>
          <w:i/>
          <w:iCs/>
          <w:sz w:val="20"/>
          <w:szCs w:val="20"/>
        </w:rPr>
        <w:t>If UE doesn’t obtain those parameters from the serving cell, additional delay is expected</w:t>
      </w:r>
      <w:r>
        <w:rPr>
          <w:b/>
          <w:bCs/>
          <w:i/>
          <w:iCs/>
          <w:sz w:val="20"/>
          <w:szCs w:val="20"/>
        </w:rPr>
        <w:t xml:space="preserve"> in the corresponding requirement</w:t>
      </w:r>
      <w:r w:rsidRPr="00114A9B">
        <w:rPr>
          <w:b/>
          <w:bCs/>
          <w:i/>
          <w:iCs/>
          <w:sz w:val="20"/>
          <w:szCs w:val="20"/>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68F0336E" w:rsidR="004D4ED2" w:rsidRPr="004A24D0" w:rsidRDefault="009D56DB" w:rsidP="005A1E0E">
      <w:pPr>
        <w:rPr>
          <w:sz w:val="20"/>
          <w:szCs w:val="20"/>
        </w:rPr>
      </w:pPr>
      <w:r w:rsidRPr="004A24D0">
        <w:rPr>
          <w:sz w:val="20"/>
          <w:szCs w:val="20"/>
        </w:rPr>
        <w:t xml:space="preserve">[1] </w:t>
      </w:r>
      <w:r w:rsidR="003F7506" w:rsidRPr="003F7506">
        <w:rPr>
          <w:sz w:val="20"/>
          <w:szCs w:val="20"/>
        </w:rPr>
        <w:t>R4-2115345</w:t>
      </w:r>
      <w:r w:rsidR="00B610C9" w:rsidRPr="004A24D0">
        <w:rPr>
          <w:sz w:val="20"/>
          <w:szCs w:val="20"/>
        </w:rPr>
        <w:t xml:space="preserve">, </w:t>
      </w:r>
      <w:r w:rsidR="003F7506" w:rsidRPr="003F7506">
        <w:rPr>
          <w:sz w:val="20"/>
          <w:szCs w:val="20"/>
          <w:lang w:val="en-GB"/>
        </w:rPr>
        <w:t>WF on RRM requirements for NTN measurement and mobility</w:t>
      </w:r>
      <w:r w:rsidR="00A56205" w:rsidRPr="004A24D0">
        <w:rPr>
          <w:sz w:val="20"/>
          <w:szCs w:val="20"/>
        </w:rPr>
        <w:t xml:space="preserve">, </w:t>
      </w:r>
      <w:r w:rsidR="003F7506">
        <w:rPr>
          <w:sz w:val="20"/>
          <w:szCs w:val="20"/>
        </w:rPr>
        <w:t>Qualcomm</w:t>
      </w:r>
      <w:r w:rsidR="00A56205" w:rsidRPr="004A24D0">
        <w:rPr>
          <w:sz w:val="20"/>
          <w:szCs w:val="20"/>
        </w:rPr>
        <w:t>, RAN</w:t>
      </w:r>
      <w:r w:rsidR="00B610C9" w:rsidRPr="004A24D0">
        <w:rPr>
          <w:sz w:val="20"/>
          <w:szCs w:val="20"/>
        </w:rPr>
        <w:t>4</w:t>
      </w:r>
      <w:r w:rsidR="004E6B05" w:rsidRPr="004A24D0">
        <w:rPr>
          <w:sz w:val="20"/>
          <w:szCs w:val="20"/>
        </w:rPr>
        <w:t xml:space="preserve"> #</w:t>
      </w:r>
      <w:r w:rsidR="003F7506">
        <w:rPr>
          <w:sz w:val="20"/>
          <w:szCs w:val="20"/>
        </w:rPr>
        <w:t>100</w:t>
      </w:r>
      <w:r w:rsidR="00012220" w:rsidRPr="004A24D0">
        <w:rPr>
          <w:sz w:val="20"/>
          <w:szCs w:val="20"/>
        </w:rPr>
        <w:t>-</w:t>
      </w:r>
      <w:r w:rsidR="00B610C9" w:rsidRPr="004A24D0">
        <w:rPr>
          <w:sz w:val="20"/>
          <w:szCs w:val="20"/>
        </w:rPr>
        <w:t>e</w:t>
      </w:r>
    </w:p>
    <w:p w14:paraId="3CCDA2DC" w14:textId="77777777" w:rsidR="00B87185" w:rsidRPr="005A1E0E" w:rsidRDefault="00B87185" w:rsidP="005A1E0E"/>
    <w:sectPr w:rsidR="00B87185"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EFF4F" w14:textId="77777777" w:rsidR="007F7321" w:rsidRDefault="007F7321">
      <w:pPr>
        <w:spacing w:after="0"/>
      </w:pPr>
      <w:r>
        <w:separator/>
      </w:r>
    </w:p>
  </w:endnote>
  <w:endnote w:type="continuationSeparator" w:id="0">
    <w:p w14:paraId="7CBA53CF" w14:textId="77777777" w:rsidR="007F7321" w:rsidRDefault="007F7321">
      <w:pPr>
        <w:spacing w:after="0"/>
      </w:pPr>
      <w:r>
        <w:continuationSeparator/>
      </w:r>
    </w:p>
  </w:endnote>
  <w:endnote w:type="continuationNotice" w:id="1">
    <w:p w14:paraId="69CCA6CE" w14:textId="77777777" w:rsidR="007F7321" w:rsidRDefault="007F7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6BBC" w14:textId="77777777" w:rsidR="007F7321" w:rsidRDefault="007F7321">
      <w:pPr>
        <w:spacing w:after="0"/>
      </w:pPr>
      <w:r>
        <w:separator/>
      </w:r>
    </w:p>
  </w:footnote>
  <w:footnote w:type="continuationSeparator" w:id="0">
    <w:p w14:paraId="2FFE9B83" w14:textId="77777777" w:rsidR="007F7321" w:rsidRDefault="007F7321">
      <w:pPr>
        <w:spacing w:after="0"/>
      </w:pPr>
      <w:r>
        <w:continuationSeparator/>
      </w:r>
    </w:p>
  </w:footnote>
  <w:footnote w:type="continuationNotice" w:id="1">
    <w:p w14:paraId="12B6C454" w14:textId="77777777" w:rsidR="007F7321" w:rsidRDefault="007F73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720"/>
        </w:tabs>
        <w:ind w:left="720" w:hanging="360"/>
      </w:pPr>
      <w:rPr>
        <w:rFonts w:ascii="Arial" w:hAnsi="Arial" w:hint="default"/>
      </w:rPr>
    </w:lvl>
    <w:lvl w:ilvl="1" w:tplc="01182D02">
      <w:numFmt w:val="bullet"/>
      <w:lvlText w:val="•"/>
      <w:lvlJc w:val="left"/>
      <w:pPr>
        <w:tabs>
          <w:tab w:val="num" w:pos="1440"/>
        </w:tabs>
        <w:ind w:left="1440" w:hanging="360"/>
      </w:pPr>
      <w:rPr>
        <w:rFonts w:ascii="Arial" w:hAnsi="Arial" w:hint="default"/>
      </w:rPr>
    </w:lvl>
    <w:lvl w:ilvl="2" w:tplc="FC864242">
      <w:start w:val="1"/>
      <w:numFmt w:val="bullet"/>
      <w:lvlText w:val="•"/>
      <w:lvlJc w:val="left"/>
      <w:pPr>
        <w:tabs>
          <w:tab w:val="num" w:pos="2160"/>
        </w:tabs>
        <w:ind w:left="2160" w:hanging="360"/>
      </w:pPr>
      <w:rPr>
        <w:rFonts w:ascii="Arial" w:hAnsi="Arial" w:hint="default"/>
      </w:rPr>
    </w:lvl>
    <w:lvl w:ilvl="3" w:tplc="5CEE6ACA" w:tentative="1">
      <w:start w:val="1"/>
      <w:numFmt w:val="bullet"/>
      <w:lvlText w:val="•"/>
      <w:lvlJc w:val="left"/>
      <w:pPr>
        <w:tabs>
          <w:tab w:val="num" w:pos="2880"/>
        </w:tabs>
        <w:ind w:left="2880" w:hanging="360"/>
      </w:pPr>
      <w:rPr>
        <w:rFonts w:ascii="Arial" w:hAnsi="Arial" w:hint="default"/>
      </w:rPr>
    </w:lvl>
    <w:lvl w:ilvl="4" w:tplc="5F6ABAFA" w:tentative="1">
      <w:start w:val="1"/>
      <w:numFmt w:val="bullet"/>
      <w:lvlText w:val="•"/>
      <w:lvlJc w:val="left"/>
      <w:pPr>
        <w:tabs>
          <w:tab w:val="num" w:pos="3600"/>
        </w:tabs>
        <w:ind w:left="3600" w:hanging="360"/>
      </w:pPr>
      <w:rPr>
        <w:rFonts w:ascii="Arial" w:hAnsi="Arial" w:hint="default"/>
      </w:rPr>
    </w:lvl>
    <w:lvl w:ilvl="5" w:tplc="B646528C" w:tentative="1">
      <w:start w:val="1"/>
      <w:numFmt w:val="bullet"/>
      <w:lvlText w:val="•"/>
      <w:lvlJc w:val="left"/>
      <w:pPr>
        <w:tabs>
          <w:tab w:val="num" w:pos="4320"/>
        </w:tabs>
        <w:ind w:left="4320" w:hanging="360"/>
      </w:pPr>
      <w:rPr>
        <w:rFonts w:ascii="Arial" w:hAnsi="Arial" w:hint="default"/>
      </w:rPr>
    </w:lvl>
    <w:lvl w:ilvl="6" w:tplc="1BF6EEA6" w:tentative="1">
      <w:start w:val="1"/>
      <w:numFmt w:val="bullet"/>
      <w:lvlText w:val="•"/>
      <w:lvlJc w:val="left"/>
      <w:pPr>
        <w:tabs>
          <w:tab w:val="num" w:pos="5040"/>
        </w:tabs>
        <w:ind w:left="5040" w:hanging="360"/>
      </w:pPr>
      <w:rPr>
        <w:rFonts w:ascii="Arial" w:hAnsi="Arial" w:hint="default"/>
      </w:rPr>
    </w:lvl>
    <w:lvl w:ilvl="7" w:tplc="EB1C4FE0" w:tentative="1">
      <w:start w:val="1"/>
      <w:numFmt w:val="bullet"/>
      <w:lvlText w:val="•"/>
      <w:lvlJc w:val="left"/>
      <w:pPr>
        <w:tabs>
          <w:tab w:val="num" w:pos="5760"/>
        </w:tabs>
        <w:ind w:left="5760" w:hanging="360"/>
      </w:pPr>
      <w:rPr>
        <w:rFonts w:ascii="Arial" w:hAnsi="Arial" w:hint="default"/>
      </w:rPr>
    </w:lvl>
    <w:lvl w:ilvl="8" w:tplc="DC484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46A4923"/>
    <w:multiLevelType w:val="hybridMultilevel"/>
    <w:tmpl w:val="06C885BA"/>
    <w:lvl w:ilvl="0" w:tplc="D0DAB2DE">
      <w:start w:val="1"/>
      <w:numFmt w:val="bullet"/>
      <w:lvlText w:val=""/>
      <w:lvlJc w:val="left"/>
      <w:pPr>
        <w:tabs>
          <w:tab w:val="num" w:pos="720"/>
        </w:tabs>
        <w:ind w:left="720" w:hanging="360"/>
      </w:pPr>
      <w:rPr>
        <w:rFonts w:ascii="Symbol" w:hAnsi="Symbol" w:hint="default"/>
      </w:rPr>
    </w:lvl>
    <w:lvl w:ilvl="1" w:tplc="989E79AC">
      <w:numFmt w:val="bullet"/>
      <w:lvlText w:val="•"/>
      <w:lvlJc w:val="left"/>
      <w:pPr>
        <w:tabs>
          <w:tab w:val="num" w:pos="1440"/>
        </w:tabs>
        <w:ind w:left="1440" w:hanging="360"/>
      </w:pPr>
      <w:rPr>
        <w:rFonts w:ascii="Arial" w:hAnsi="Arial" w:hint="default"/>
      </w:rPr>
    </w:lvl>
    <w:lvl w:ilvl="2" w:tplc="5BAA24D0" w:tentative="1">
      <w:start w:val="1"/>
      <w:numFmt w:val="bullet"/>
      <w:lvlText w:val=""/>
      <w:lvlJc w:val="left"/>
      <w:pPr>
        <w:tabs>
          <w:tab w:val="num" w:pos="2160"/>
        </w:tabs>
        <w:ind w:left="2160" w:hanging="360"/>
      </w:pPr>
      <w:rPr>
        <w:rFonts w:ascii="Symbol" w:hAnsi="Symbol" w:hint="default"/>
      </w:rPr>
    </w:lvl>
    <w:lvl w:ilvl="3" w:tplc="A5FC4D60" w:tentative="1">
      <w:start w:val="1"/>
      <w:numFmt w:val="bullet"/>
      <w:lvlText w:val=""/>
      <w:lvlJc w:val="left"/>
      <w:pPr>
        <w:tabs>
          <w:tab w:val="num" w:pos="2880"/>
        </w:tabs>
        <w:ind w:left="2880" w:hanging="360"/>
      </w:pPr>
      <w:rPr>
        <w:rFonts w:ascii="Symbol" w:hAnsi="Symbol" w:hint="default"/>
      </w:rPr>
    </w:lvl>
    <w:lvl w:ilvl="4" w:tplc="CA6C4900" w:tentative="1">
      <w:start w:val="1"/>
      <w:numFmt w:val="bullet"/>
      <w:lvlText w:val=""/>
      <w:lvlJc w:val="left"/>
      <w:pPr>
        <w:tabs>
          <w:tab w:val="num" w:pos="3600"/>
        </w:tabs>
        <w:ind w:left="3600" w:hanging="360"/>
      </w:pPr>
      <w:rPr>
        <w:rFonts w:ascii="Symbol" w:hAnsi="Symbol" w:hint="default"/>
      </w:rPr>
    </w:lvl>
    <w:lvl w:ilvl="5" w:tplc="F500A792" w:tentative="1">
      <w:start w:val="1"/>
      <w:numFmt w:val="bullet"/>
      <w:lvlText w:val=""/>
      <w:lvlJc w:val="left"/>
      <w:pPr>
        <w:tabs>
          <w:tab w:val="num" w:pos="4320"/>
        </w:tabs>
        <w:ind w:left="4320" w:hanging="360"/>
      </w:pPr>
      <w:rPr>
        <w:rFonts w:ascii="Symbol" w:hAnsi="Symbol" w:hint="default"/>
      </w:rPr>
    </w:lvl>
    <w:lvl w:ilvl="6" w:tplc="03D8F4F2" w:tentative="1">
      <w:start w:val="1"/>
      <w:numFmt w:val="bullet"/>
      <w:lvlText w:val=""/>
      <w:lvlJc w:val="left"/>
      <w:pPr>
        <w:tabs>
          <w:tab w:val="num" w:pos="5040"/>
        </w:tabs>
        <w:ind w:left="5040" w:hanging="360"/>
      </w:pPr>
      <w:rPr>
        <w:rFonts w:ascii="Symbol" w:hAnsi="Symbol" w:hint="default"/>
      </w:rPr>
    </w:lvl>
    <w:lvl w:ilvl="7" w:tplc="71C2803A" w:tentative="1">
      <w:start w:val="1"/>
      <w:numFmt w:val="bullet"/>
      <w:lvlText w:val=""/>
      <w:lvlJc w:val="left"/>
      <w:pPr>
        <w:tabs>
          <w:tab w:val="num" w:pos="5760"/>
        </w:tabs>
        <w:ind w:left="5760" w:hanging="360"/>
      </w:pPr>
      <w:rPr>
        <w:rFonts w:ascii="Symbol" w:hAnsi="Symbol" w:hint="default"/>
      </w:rPr>
    </w:lvl>
    <w:lvl w:ilvl="8" w:tplc="CADCD5F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D2362"/>
    <w:multiLevelType w:val="hybridMultilevel"/>
    <w:tmpl w:val="560C84FA"/>
    <w:lvl w:ilvl="0" w:tplc="FB720840">
      <w:start w:val="1"/>
      <w:numFmt w:val="bullet"/>
      <w:lvlText w:val=""/>
      <w:lvlJc w:val="left"/>
      <w:pPr>
        <w:tabs>
          <w:tab w:val="num" w:pos="720"/>
        </w:tabs>
        <w:ind w:left="720" w:hanging="360"/>
      </w:pPr>
      <w:rPr>
        <w:rFonts w:ascii="Symbol" w:hAnsi="Symbol" w:hint="default"/>
      </w:rPr>
    </w:lvl>
    <w:lvl w:ilvl="1" w:tplc="C40EE504">
      <w:numFmt w:val="bullet"/>
      <w:lvlText w:val="•"/>
      <w:lvlJc w:val="left"/>
      <w:pPr>
        <w:tabs>
          <w:tab w:val="num" w:pos="1440"/>
        </w:tabs>
        <w:ind w:left="1440" w:hanging="360"/>
      </w:pPr>
      <w:rPr>
        <w:rFonts w:ascii="Arial" w:hAnsi="Arial" w:hint="default"/>
      </w:rPr>
    </w:lvl>
    <w:lvl w:ilvl="2" w:tplc="7A72F08E">
      <w:numFmt w:val="bullet"/>
      <w:lvlText w:val="•"/>
      <w:lvlJc w:val="left"/>
      <w:pPr>
        <w:tabs>
          <w:tab w:val="num" w:pos="2160"/>
        </w:tabs>
        <w:ind w:left="2160" w:hanging="360"/>
      </w:pPr>
      <w:rPr>
        <w:rFonts w:ascii="Arial" w:hAnsi="Arial" w:hint="default"/>
      </w:rPr>
    </w:lvl>
    <w:lvl w:ilvl="3" w:tplc="FBA445C6" w:tentative="1">
      <w:start w:val="1"/>
      <w:numFmt w:val="bullet"/>
      <w:lvlText w:val=""/>
      <w:lvlJc w:val="left"/>
      <w:pPr>
        <w:tabs>
          <w:tab w:val="num" w:pos="2880"/>
        </w:tabs>
        <w:ind w:left="2880" w:hanging="360"/>
      </w:pPr>
      <w:rPr>
        <w:rFonts w:ascii="Symbol" w:hAnsi="Symbol" w:hint="default"/>
      </w:rPr>
    </w:lvl>
    <w:lvl w:ilvl="4" w:tplc="54A23E00" w:tentative="1">
      <w:start w:val="1"/>
      <w:numFmt w:val="bullet"/>
      <w:lvlText w:val=""/>
      <w:lvlJc w:val="left"/>
      <w:pPr>
        <w:tabs>
          <w:tab w:val="num" w:pos="3600"/>
        </w:tabs>
        <w:ind w:left="3600" w:hanging="360"/>
      </w:pPr>
      <w:rPr>
        <w:rFonts w:ascii="Symbol" w:hAnsi="Symbol" w:hint="default"/>
      </w:rPr>
    </w:lvl>
    <w:lvl w:ilvl="5" w:tplc="D940214A" w:tentative="1">
      <w:start w:val="1"/>
      <w:numFmt w:val="bullet"/>
      <w:lvlText w:val=""/>
      <w:lvlJc w:val="left"/>
      <w:pPr>
        <w:tabs>
          <w:tab w:val="num" w:pos="4320"/>
        </w:tabs>
        <w:ind w:left="4320" w:hanging="360"/>
      </w:pPr>
      <w:rPr>
        <w:rFonts w:ascii="Symbol" w:hAnsi="Symbol" w:hint="default"/>
      </w:rPr>
    </w:lvl>
    <w:lvl w:ilvl="6" w:tplc="88CC5E76" w:tentative="1">
      <w:start w:val="1"/>
      <w:numFmt w:val="bullet"/>
      <w:lvlText w:val=""/>
      <w:lvlJc w:val="left"/>
      <w:pPr>
        <w:tabs>
          <w:tab w:val="num" w:pos="5040"/>
        </w:tabs>
        <w:ind w:left="5040" w:hanging="360"/>
      </w:pPr>
      <w:rPr>
        <w:rFonts w:ascii="Symbol" w:hAnsi="Symbol" w:hint="default"/>
      </w:rPr>
    </w:lvl>
    <w:lvl w:ilvl="7" w:tplc="5D0E64D2" w:tentative="1">
      <w:start w:val="1"/>
      <w:numFmt w:val="bullet"/>
      <w:lvlText w:val=""/>
      <w:lvlJc w:val="left"/>
      <w:pPr>
        <w:tabs>
          <w:tab w:val="num" w:pos="5760"/>
        </w:tabs>
        <w:ind w:left="5760" w:hanging="360"/>
      </w:pPr>
      <w:rPr>
        <w:rFonts w:ascii="Symbol" w:hAnsi="Symbol" w:hint="default"/>
      </w:rPr>
    </w:lvl>
    <w:lvl w:ilvl="8" w:tplc="573E7EA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tentative="1">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6F3B"/>
    <w:multiLevelType w:val="hybridMultilevel"/>
    <w:tmpl w:val="2F4E2D14"/>
    <w:lvl w:ilvl="0" w:tplc="17940E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20E543E"/>
    <w:multiLevelType w:val="hybridMultilevel"/>
    <w:tmpl w:val="064E53D8"/>
    <w:lvl w:ilvl="0" w:tplc="D7E29C5C">
      <w:start w:val="1"/>
      <w:numFmt w:val="bullet"/>
      <w:lvlText w:val=""/>
      <w:lvlJc w:val="left"/>
      <w:pPr>
        <w:tabs>
          <w:tab w:val="num" w:pos="720"/>
        </w:tabs>
        <w:ind w:left="720" w:hanging="360"/>
      </w:pPr>
      <w:rPr>
        <w:rFonts w:ascii="Symbol" w:hAnsi="Symbol" w:hint="default"/>
      </w:rPr>
    </w:lvl>
    <w:lvl w:ilvl="1" w:tplc="F77A9CFE">
      <w:numFmt w:val="bullet"/>
      <w:lvlText w:val="•"/>
      <w:lvlJc w:val="left"/>
      <w:pPr>
        <w:tabs>
          <w:tab w:val="num" w:pos="1440"/>
        </w:tabs>
        <w:ind w:left="1440" w:hanging="360"/>
      </w:pPr>
      <w:rPr>
        <w:rFonts w:ascii="Arial" w:hAnsi="Arial" w:hint="default"/>
      </w:rPr>
    </w:lvl>
    <w:lvl w:ilvl="2" w:tplc="2BA499C4">
      <w:numFmt w:val="bullet"/>
      <w:lvlText w:val="•"/>
      <w:lvlJc w:val="left"/>
      <w:pPr>
        <w:tabs>
          <w:tab w:val="num" w:pos="2160"/>
        </w:tabs>
        <w:ind w:left="2160" w:hanging="360"/>
      </w:pPr>
      <w:rPr>
        <w:rFonts w:ascii="Arial" w:hAnsi="Arial" w:hint="default"/>
      </w:rPr>
    </w:lvl>
    <w:lvl w:ilvl="3" w:tplc="742C4A1E" w:tentative="1">
      <w:start w:val="1"/>
      <w:numFmt w:val="bullet"/>
      <w:lvlText w:val=""/>
      <w:lvlJc w:val="left"/>
      <w:pPr>
        <w:tabs>
          <w:tab w:val="num" w:pos="2880"/>
        </w:tabs>
        <w:ind w:left="2880" w:hanging="360"/>
      </w:pPr>
      <w:rPr>
        <w:rFonts w:ascii="Symbol" w:hAnsi="Symbol" w:hint="default"/>
      </w:rPr>
    </w:lvl>
    <w:lvl w:ilvl="4" w:tplc="EB2226A8" w:tentative="1">
      <w:start w:val="1"/>
      <w:numFmt w:val="bullet"/>
      <w:lvlText w:val=""/>
      <w:lvlJc w:val="left"/>
      <w:pPr>
        <w:tabs>
          <w:tab w:val="num" w:pos="3600"/>
        </w:tabs>
        <w:ind w:left="3600" w:hanging="360"/>
      </w:pPr>
      <w:rPr>
        <w:rFonts w:ascii="Symbol" w:hAnsi="Symbol" w:hint="default"/>
      </w:rPr>
    </w:lvl>
    <w:lvl w:ilvl="5" w:tplc="88CC63FE" w:tentative="1">
      <w:start w:val="1"/>
      <w:numFmt w:val="bullet"/>
      <w:lvlText w:val=""/>
      <w:lvlJc w:val="left"/>
      <w:pPr>
        <w:tabs>
          <w:tab w:val="num" w:pos="4320"/>
        </w:tabs>
        <w:ind w:left="4320" w:hanging="360"/>
      </w:pPr>
      <w:rPr>
        <w:rFonts w:ascii="Symbol" w:hAnsi="Symbol" w:hint="default"/>
      </w:rPr>
    </w:lvl>
    <w:lvl w:ilvl="6" w:tplc="8E447180" w:tentative="1">
      <w:start w:val="1"/>
      <w:numFmt w:val="bullet"/>
      <w:lvlText w:val=""/>
      <w:lvlJc w:val="left"/>
      <w:pPr>
        <w:tabs>
          <w:tab w:val="num" w:pos="5040"/>
        </w:tabs>
        <w:ind w:left="5040" w:hanging="360"/>
      </w:pPr>
      <w:rPr>
        <w:rFonts w:ascii="Symbol" w:hAnsi="Symbol" w:hint="default"/>
      </w:rPr>
    </w:lvl>
    <w:lvl w:ilvl="7" w:tplc="AD9A91FA" w:tentative="1">
      <w:start w:val="1"/>
      <w:numFmt w:val="bullet"/>
      <w:lvlText w:val=""/>
      <w:lvlJc w:val="left"/>
      <w:pPr>
        <w:tabs>
          <w:tab w:val="num" w:pos="5760"/>
        </w:tabs>
        <w:ind w:left="5760" w:hanging="360"/>
      </w:pPr>
      <w:rPr>
        <w:rFonts w:ascii="Symbol" w:hAnsi="Symbol" w:hint="default"/>
      </w:rPr>
    </w:lvl>
    <w:lvl w:ilvl="8" w:tplc="A498C33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5"/>
  </w:num>
  <w:num w:numId="12">
    <w:abstractNumId w:val="20"/>
  </w:num>
  <w:num w:numId="13">
    <w:abstractNumId w:val="17"/>
  </w:num>
  <w:num w:numId="14">
    <w:abstractNumId w:val="11"/>
  </w:num>
  <w:num w:numId="15">
    <w:abstractNumId w:val="22"/>
  </w:num>
  <w:num w:numId="16">
    <w:abstractNumId w:val="2"/>
  </w:num>
  <w:num w:numId="17">
    <w:abstractNumId w:val="23"/>
  </w:num>
  <w:num w:numId="18">
    <w:abstractNumId w:val="0"/>
  </w:num>
  <w:num w:numId="19">
    <w:abstractNumId w:val="10"/>
  </w:num>
  <w:num w:numId="20">
    <w:abstractNumId w:val="12"/>
  </w:num>
  <w:num w:numId="21">
    <w:abstractNumId w:val="7"/>
  </w:num>
  <w:num w:numId="22">
    <w:abstractNumId w:val="9"/>
  </w:num>
  <w:num w:numId="23">
    <w:abstractNumId w:val="26"/>
  </w:num>
  <w:num w:numId="24">
    <w:abstractNumId w:val="5"/>
  </w:num>
  <w:num w:numId="25">
    <w:abstractNumId w:val="8"/>
  </w:num>
  <w:num w:numId="26">
    <w:abstractNumId w:val="6"/>
  </w:num>
  <w:num w:numId="27">
    <w:abstractNumId w:val="15"/>
  </w:num>
  <w:num w:numId="28">
    <w:abstractNumId w:val="18"/>
  </w:num>
  <w:num w:numId="2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353B"/>
    <w:rsid w:val="00063883"/>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A9B"/>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822"/>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83A"/>
    <w:rsid w:val="003B0971"/>
    <w:rsid w:val="003B0A14"/>
    <w:rsid w:val="003B17E0"/>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506"/>
    <w:rsid w:val="003F77E2"/>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3230"/>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24D0"/>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05"/>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566"/>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770"/>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0DB"/>
    <w:rsid w:val="006D0146"/>
    <w:rsid w:val="006D0182"/>
    <w:rsid w:val="006D08AE"/>
    <w:rsid w:val="006D0A30"/>
    <w:rsid w:val="006D1BCA"/>
    <w:rsid w:val="006D35B4"/>
    <w:rsid w:val="006D516E"/>
    <w:rsid w:val="006D53B5"/>
    <w:rsid w:val="006D6507"/>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44C"/>
    <w:rsid w:val="007155A3"/>
    <w:rsid w:val="00715DCD"/>
    <w:rsid w:val="007167E6"/>
    <w:rsid w:val="00716C7F"/>
    <w:rsid w:val="007170A3"/>
    <w:rsid w:val="00717156"/>
    <w:rsid w:val="00717D2A"/>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5F3F"/>
    <w:rsid w:val="007D627E"/>
    <w:rsid w:val="007D722C"/>
    <w:rsid w:val="007D786A"/>
    <w:rsid w:val="007D7F1F"/>
    <w:rsid w:val="007E04DF"/>
    <w:rsid w:val="007E15A9"/>
    <w:rsid w:val="007E2417"/>
    <w:rsid w:val="007E2565"/>
    <w:rsid w:val="007E32C7"/>
    <w:rsid w:val="007E44F9"/>
    <w:rsid w:val="007E460F"/>
    <w:rsid w:val="007E4D1A"/>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7F7321"/>
    <w:rsid w:val="008006D6"/>
    <w:rsid w:val="008007CD"/>
    <w:rsid w:val="00801062"/>
    <w:rsid w:val="00801150"/>
    <w:rsid w:val="00801BDC"/>
    <w:rsid w:val="00801C40"/>
    <w:rsid w:val="00801CE9"/>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7127"/>
    <w:rsid w:val="0085733A"/>
    <w:rsid w:val="00857703"/>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3FC"/>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2E35"/>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62"/>
    <w:rsid w:val="00A54C14"/>
    <w:rsid w:val="00A54DD1"/>
    <w:rsid w:val="00A55792"/>
    <w:rsid w:val="00A55AF0"/>
    <w:rsid w:val="00A55EAD"/>
    <w:rsid w:val="00A56205"/>
    <w:rsid w:val="00A569CF"/>
    <w:rsid w:val="00A56DA6"/>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B68"/>
    <w:rsid w:val="00A82896"/>
    <w:rsid w:val="00A834F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4942"/>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6BC"/>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606"/>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62ED"/>
    <w:rsid w:val="00BC63F4"/>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7659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6EE0"/>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270F"/>
    <w:rsid w:val="00CC29B9"/>
    <w:rsid w:val="00CC449F"/>
    <w:rsid w:val="00CC484F"/>
    <w:rsid w:val="00CC4B01"/>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1E90"/>
    <w:rsid w:val="00DE2285"/>
    <w:rsid w:val="00DE296E"/>
    <w:rsid w:val="00DE2D02"/>
    <w:rsid w:val="00DE33A3"/>
    <w:rsid w:val="00DE4AD1"/>
    <w:rsid w:val="00DE4FD9"/>
    <w:rsid w:val="00DE5454"/>
    <w:rsid w:val="00DE5907"/>
    <w:rsid w:val="00DE595E"/>
    <w:rsid w:val="00DE7B5A"/>
    <w:rsid w:val="00DF058A"/>
    <w:rsid w:val="00DF1EBF"/>
    <w:rsid w:val="00DF215B"/>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049"/>
    <w:rsid w:val="00EC3220"/>
    <w:rsid w:val="00EC3A24"/>
    <w:rsid w:val="00EC3C1A"/>
    <w:rsid w:val="00EC3C52"/>
    <w:rsid w:val="00EC44D5"/>
    <w:rsid w:val="00EC4DD5"/>
    <w:rsid w:val="00EC5BD1"/>
    <w:rsid w:val="00EC73ED"/>
    <w:rsid w:val="00ED0804"/>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7309">
      <w:bodyDiv w:val="1"/>
      <w:marLeft w:val="0"/>
      <w:marRight w:val="0"/>
      <w:marTop w:val="0"/>
      <w:marBottom w:val="0"/>
      <w:divBdr>
        <w:top w:val="none" w:sz="0" w:space="0" w:color="auto"/>
        <w:left w:val="none" w:sz="0" w:space="0" w:color="auto"/>
        <w:bottom w:val="none" w:sz="0" w:space="0" w:color="auto"/>
        <w:right w:val="none" w:sz="0" w:space="0" w:color="auto"/>
      </w:divBdr>
      <w:divsChild>
        <w:div w:id="2114471276">
          <w:marLeft w:val="360"/>
          <w:marRight w:val="0"/>
          <w:marTop w:val="200"/>
          <w:marBottom w:val="0"/>
          <w:divBdr>
            <w:top w:val="none" w:sz="0" w:space="0" w:color="auto"/>
            <w:left w:val="none" w:sz="0" w:space="0" w:color="auto"/>
            <w:bottom w:val="none" w:sz="0" w:space="0" w:color="auto"/>
            <w:right w:val="none" w:sz="0" w:space="0" w:color="auto"/>
          </w:divBdr>
        </w:div>
        <w:div w:id="738334073">
          <w:marLeft w:val="1080"/>
          <w:marRight w:val="0"/>
          <w:marTop w:val="100"/>
          <w:marBottom w:val="0"/>
          <w:divBdr>
            <w:top w:val="none" w:sz="0" w:space="0" w:color="auto"/>
            <w:left w:val="none" w:sz="0" w:space="0" w:color="auto"/>
            <w:bottom w:val="none" w:sz="0" w:space="0" w:color="auto"/>
            <w:right w:val="none" w:sz="0" w:space="0" w:color="auto"/>
          </w:divBdr>
        </w:div>
        <w:div w:id="1468358474">
          <w:marLeft w:val="1800"/>
          <w:marRight w:val="0"/>
          <w:marTop w:val="100"/>
          <w:marBottom w:val="0"/>
          <w:divBdr>
            <w:top w:val="none" w:sz="0" w:space="0" w:color="auto"/>
            <w:left w:val="none" w:sz="0" w:space="0" w:color="auto"/>
            <w:bottom w:val="none" w:sz="0" w:space="0" w:color="auto"/>
            <w:right w:val="none" w:sz="0" w:space="0" w:color="auto"/>
          </w:divBdr>
        </w:div>
        <w:div w:id="1754424682">
          <w:marLeft w:val="1080"/>
          <w:marRight w:val="0"/>
          <w:marTop w:val="100"/>
          <w:marBottom w:val="0"/>
          <w:divBdr>
            <w:top w:val="none" w:sz="0" w:space="0" w:color="auto"/>
            <w:left w:val="none" w:sz="0" w:space="0" w:color="auto"/>
            <w:bottom w:val="none" w:sz="0" w:space="0" w:color="auto"/>
            <w:right w:val="none" w:sz="0" w:space="0" w:color="auto"/>
          </w:divBdr>
        </w:div>
        <w:div w:id="1343970330">
          <w:marLeft w:val="1800"/>
          <w:marRight w:val="0"/>
          <w:marTop w:val="100"/>
          <w:marBottom w:val="0"/>
          <w:divBdr>
            <w:top w:val="none" w:sz="0" w:space="0" w:color="auto"/>
            <w:left w:val="none" w:sz="0" w:space="0" w:color="auto"/>
            <w:bottom w:val="none" w:sz="0" w:space="0" w:color="auto"/>
            <w:right w:val="none" w:sz="0" w:space="0" w:color="auto"/>
          </w:divBdr>
        </w:div>
        <w:div w:id="1692561401">
          <w:marLeft w:val="1080"/>
          <w:marRight w:val="0"/>
          <w:marTop w:val="100"/>
          <w:marBottom w:val="0"/>
          <w:divBdr>
            <w:top w:val="none" w:sz="0" w:space="0" w:color="auto"/>
            <w:left w:val="none" w:sz="0" w:space="0" w:color="auto"/>
            <w:bottom w:val="none" w:sz="0" w:space="0" w:color="auto"/>
            <w:right w:val="none" w:sz="0" w:space="0" w:color="auto"/>
          </w:divBdr>
        </w:div>
        <w:div w:id="73823134">
          <w:marLeft w:val="1800"/>
          <w:marRight w:val="0"/>
          <w:marTop w:val="10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0319066">
      <w:bodyDiv w:val="1"/>
      <w:marLeft w:val="0"/>
      <w:marRight w:val="0"/>
      <w:marTop w:val="0"/>
      <w:marBottom w:val="0"/>
      <w:divBdr>
        <w:top w:val="none" w:sz="0" w:space="0" w:color="auto"/>
        <w:left w:val="none" w:sz="0" w:space="0" w:color="auto"/>
        <w:bottom w:val="none" w:sz="0" w:space="0" w:color="auto"/>
        <w:right w:val="none" w:sz="0" w:space="0" w:color="auto"/>
      </w:divBdr>
      <w:divsChild>
        <w:div w:id="786702995">
          <w:marLeft w:val="360"/>
          <w:marRight w:val="0"/>
          <w:marTop w:val="200"/>
          <w:marBottom w:val="0"/>
          <w:divBdr>
            <w:top w:val="none" w:sz="0" w:space="0" w:color="auto"/>
            <w:left w:val="none" w:sz="0" w:space="0" w:color="auto"/>
            <w:bottom w:val="none" w:sz="0" w:space="0" w:color="auto"/>
            <w:right w:val="none" w:sz="0" w:space="0" w:color="auto"/>
          </w:divBdr>
        </w:div>
        <w:div w:id="1043868709">
          <w:marLeft w:val="1080"/>
          <w:marRight w:val="0"/>
          <w:marTop w:val="100"/>
          <w:marBottom w:val="0"/>
          <w:divBdr>
            <w:top w:val="none" w:sz="0" w:space="0" w:color="auto"/>
            <w:left w:val="none" w:sz="0" w:space="0" w:color="auto"/>
            <w:bottom w:val="none" w:sz="0" w:space="0" w:color="auto"/>
            <w:right w:val="none" w:sz="0" w:space="0" w:color="auto"/>
          </w:divBdr>
        </w:div>
        <w:div w:id="1918325846">
          <w:marLeft w:val="360"/>
          <w:marRight w:val="0"/>
          <w:marTop w:val="200"/>
          <w:marBottom w:val="0"/>
          <w:divBdr>
            <w:top w:val="none" w:sz="0" w:space="0" w:color="auto"/>
            <w:left w:val="none" w:sz="0" w:space="0" w:color="auto"/>
            <w:bottom w:val="none" w:sz="0" w:space="0" w:color="auto"/>
            <w:right w:val="none" w:sz="0" w:space="0" w:color="auto"/>
          </w:divBdr>
        </w:div>
        <w:div w:id="577516484">
          <w:marLeft w:val="1080"/>
          <w:marRight w:val="0"/>
          <w:marTop w:val="100"/>
          <w:marBottom w:val="0"/>
          <w:divBdr>
            <w:top w:val="none" w:sz="0" w:space="0" w:color="auto"/>
            <w:left w:val="none" w:sz="0" w:space="0" w:color="auto"/>
            <w:bottom w:val="none" w:sz="0" w:space="0" w:color="auto"/>
            <w:right w:val="none" w:sz="0" w:space="0" w:color="auto"/>
          </w:divBdr>
        </w:div>
        <w:div w:id="1592465990">
          <w:marLeft w:val="1800"/>
          <w:marRight w:val="0"/>
          <w:marTop w:val="100"/>
          <w:marBottom w:val="0"/>
          <w:divBdr>
            <w:top w:val="none" w:sz="0" w:space="0" w:color="auto"/>
            <w:left w:val="none" w:sz="0" w:space="0" w:color="auto"/>
            <w:bottom w:val="none" w:sz="0" w:space="0" w:color="auto"/>
            <w:right w:val="none" w:sz="0" w:space="0" w:color="auto"/>
          </w:divBdr>
        </w:div>
        <w:div w:id="434204938">
          <w:marLeft w:val="1080"/>
          <w:marRight w:val="0"/>
          <w:marTop w:val="100"/>
          <w:marBottom w:val="0"/>
          <w:divBdr>
            <w:top w:val="none" w:sz="0" w:space="0" w:color="auto"/>
            <w:left w:val="none" w:sz="0" w:space="0" w:color="auto"/>
            <w:bottom w:val="none" w:sz="0" w:space="0" w:color="auto"/>
            <w:right w:val="none" w:sz="0" w:space="0" w:color="auto"/>
          </w:divBdr>
        </w:div>
        <w:div w:id="621499369">
          <w:marLeft w:val="1800"/>
          <w:marRight w:val="0"/>
          <w:marTop w:val="100"/>
          <w:marBottom w:val="0"/>
          <w:divBdr>
            <w:top w:val="none" w:sz="0" w:space="0" w:color="auto"/>
            <w:left w:val="none" w:sz="0" w:space="0" w:color="auto"/>
            <w:bottom w:val="none" w:sz="0" w:space="0" w:color="auto"/>
            <w:right w:val="none" w:sz="0" w:space="0" w:color="auto"/>
          </w:divBdr>
        </w:div>
        <w:div w:id="1618029585">
          <w:marLeft w:val="1080"/>
          <w:marRight w:val="0"/>
          <w:marTop w:val="100"/>
          <w:marBottom w:val="0"/>
          <w:divBdr>
            <w:top w:val="none" w:sz="0" w:space="0" w:color="auto"/>
            <w:left w:val="none" w:sz="0" w:space="0" w:color="auto"/>
            <w:bottom w:val="none" w:sz="0" w:space="0" w:color="auto"/>
            <w:right w:val="none" w:sz="0" w:space="0" w:color="auto"/>
          </w:divBdr>
        </w:div>
        <w:div w:id="1180897820">
          <w:marLeft w:val="1800"/>
          <w:marRight w:val="0"/>
          <w:marTop w:val="100"/>
          <w:marBottom w:val="0"/>
          <w:divBdr>
            <w:top w:val="none" w:sz="0" w:space="0" w:color="auto"/>
            <w:left w:val="none" w:sz="0" w:space="0" w:color="auto"/>
            <w:bottom w:val="none" w:sz="0" w:space="0" w:color="auto"/>
            <w:right w:val="none" w:sz="0" w:space="0" w:color="auto"/>
          </w:divBdr>
        </w:div>
        <w:div w:id="1733887988">
          <w:marLeft w:val="1080"/>
          <w:marRight w:val="0"/>
          <w:marTop w:val="100"/>
          <w:marBottom w:val="0"/>
          <w:divBdr>
            <w:top w:val="none" w:sz="0" w:space="0" w:color="auto"/>
            <w:left w:val="none" w:sz="0" w:space="0" w:color="auto"/>
            <w:bottom w:val="none" w:sz="0" w:space="0" w:color="auto"/>
            <w:right w:val="none" w:sz="0" w:space="0" w:color="auto"/>
          </w:divBdr>
        </w:div>
        <w:div w:id="316611279">
          <w:marLeft w:val="1800"/>
          <w:marRight w:val="0"/>
          <w:marTop w:val="100"/>
          <w:marBottom w:val="0"/>
          <w:divBdr>
            <w:top w:val="none" w:sz="0" w:space="0" w:color="auto"/>
            <w:left w:val="none" w:sz="0" w:space="0" w:color="auto"/>
            <w:bottom w:val="none" w:sz="0" w:space="0" w:color="auto"/>
            <w:right w:val="none" w:sz="0" w:space="0" w:color="auto"/>
          </w:divBdr>
        </w:div>
      </w:divsChild>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637</Words>
  <Characters>3634</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2021-10-19T21:09:00Z</dcterms:created>
  <dcterms:modified xsi:type="dcterms:W3CDTF">2021-10-22T20:32:00Z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